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2026年における日本の経済連携協定（EPA）事情と多層的通商戦略の全貌</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2026年1月現在、日本の通商政策は歴史的な転換点を迎えている。グローバルな保護主義の台頭、地政学リスクの常態化、そしてデジタル経済への構造的移行という複雑な環境下において、日本は経済連携協定（EPA）を基軸とした「多層的な経済外交」をかつてない強度で展開している 。2025年を通じて顕在化した米国による関税措置や、中国の過剰生産能力を巡る構造的問題は、従来の自由貿易の前提を揺るがしており、日本はこれに対して既存の協定の高度化と、グローバルサウス諸国との戦略的な新連携という二段構えで対応している 。本報告書では、2026年初頭における日本のEPA締結・交渉状況、経済安全保障と不可分となった新たな通商ルール、そして国内制度の刷新について、多角的な視点から詳細に分析する。</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日本の通商政策における基本理念とEPAの現状</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日本の通商政策は、世界貿易機関（WTO）を中心とする多角的自由貿易体制を補完し、強化する手段として、特定の国や地域との間でより高度なルールを構築するEPAを推進してきた。2026年1月時点において、日本は21の協定（24カ国・地域）を署名・発効させており、日本の貿易総額に占めるこれらのカバー率は78.8%に達している 。さらに、現在進められている交渉案件を含めると、この割合は87.1%まで上昇する見込みであり、日本の経済活動におけるEPAの重要性は極めて高い 。</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経済連携の種別と進展状況</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日本の経済連携は、単なる関税の撤廃（FTA的側面）にとどまらず、投資の自由化、知的財産の保護、電子商取引の規律、さらには労働や環境といった現代的な課題を包括する「EPA」としての性格を強めている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協定のステータス</w:t>
            </w:r>
          </w:p>
        </w:tc>
        <w:tc>
          <w:tcPr>
            <w:shd w:fill="auto" w:val="clear"/>
            <w:tcMar>
              <w:top w:w="0.0" w:type="dxa"/>
              <w:left w:w="0.0" w:type="dxa"/>
              <w:bottom w:w="0.0" w:type="dxa"/>
              <w:right w:w="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主な対象国・地域</w:t>
            </w:r>
          </w:p>
        </w:tc>
        <w:tc>
          <w:tcPr>
            <w:shd w:fill="auto" w:val="clear"/>
            <w:tcMar>
              <w:top w:w="0.0" w:type="dxa"/>
              <w:left w:w="0.0" w:type="dxa"/>
              <w:bottom w:w="0.0" w:type="dxa"/>
              <w:right w:w="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2026年1月現在の主要動向</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発効済み（メガFTA）</w:t>
            </w:r>
          </w:p>
        </w:tc>
        <w:tc>
          <w:tcPr>
            <w:shd w:fill="auto" w:val="clear"/>
            <w:tcMar>
              <w:top w:w="0.0" w:type="dxa"/>
              <w:left w:w="0.0" w:type="dxa"/>
              <w:bottom w:w="0.0" w:type="dxa"/>
              <w:right w:w="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CPTPP (12カ国), RCEP (15カ国), IPEF</w:t>
            </w:r>
          </w:p>
        </w:tc>
        <w:tc>
          <w:tcPr>
            <w:shd w:fill="auto" w:val="clear"/>
            <w:tcMar>
              <w:top w:w="0.0" w:type="dxa"/>
              <w:left w:w="0.0" w:type="dxa"/>
              <w:bottom w:w="0.0" w:type="dxa"/>
              <w:right w:w="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英国の加入（2024年12月）、RCEP一般見直しへの着手、IPEF供給網協定の運用</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発効済み（二国間等）</w:t>
            </w:r>
          </w:p>
        </w:tc>
        <w:tc>
          <w:tcPr>
            <w:shd w:fill="auto" w:val="clear"/>
            <w:tcMar>
              <w:top w:w="0.0" w:type="dxa"/>
              <w:left w:w="0.0" w:type="dxa"/>
              <w:bottom w:w="0.0" w:type="dxa"/>
              <w:right w:w="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EU, 英国, 米国（貿易・デジタル）, インド, 豪州, ASEAN, メキシコ, スイス等</w:t>
            </w:r>
          </w:p>
        </w:tc>
        <w:tc>
          <w:tcPr>
            <w:shd w:fill="auto" w:val="clear"/>
            <w:tcMar>
              <w:top w:w="0.0" w:type="dxa"/>
              <w:left w:w="0.0" w:type="dxa"/>
              <w:bottom w:w="0.0" w:type="dxa"/>
              <w:right w:w="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日EU・EPAデータ流転規定の発効（2024年7月）、日ASEAN包括的経済連携の見直し</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大筋合意・署名準備</w:t>
            </w:r>
          </w:p>
        </w:tc>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バングラデシュ</w:t>
            </w:r>
          </w:p>
        </w:tc>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2025年12月22日に大筋合意。2026年内の発効を目指す</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交渉中（積極的）</w:t>
            </w:r>
          </w:p>
        </w:tc>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UAE, GCC（湾岸協力会議）</w:t>
            </w:r>
          </w:p>
        </w:tc>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UAEとは2025年末までに6回の交渉を実施。GCCとも並行して加速</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交渉中・停滞</w:t>
            </w:r>
          </w:p>
        </w:tc>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トルコ, コロンビア, 日中韓, イスラエル（共同研究）</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政治情勢や優先順位の変化により、実務レベルの停滞が続く</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新枠組み（準備段階）</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メルコスール</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2025年12月に「戦略的パートナーシップ枠組み」を立ち上げ</w:t>
            </w:r>
          </w:p>
        </w:tc>
      </w:tr>
    </w:tbl>
    <w:p w:rsidR="00000000" w:rsidDel="00000000" w:rsidP="00000000" w:rsidRDefault="00000000" w:rsidRPr="00000000" w14:paraId="0000001C">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構造的変化への対応：2025年の「米国関税ショック」と中国問題</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2025年に発生した米国の関税措置は、実効関税率を1930年以来の高水準に引き上げ、世界経済に甚大な不確実性をもたらした 。米国が二国間の貿易赤字解消や製造業の国内回帰、経済安全保障を優先する姿勢を強める中で、日本は自由で公正な経済秩序を維持するための「アンカー（錨）」としての役割を期待されている。一方で、中国による輸出主導の成長とそれに伴う過剰生産能力、デフレ輸出の問題も深刻化しており、これらが米国内の不満や保護主義の土壌となっているとの分析も示されている 。日本は、こうした大国間の摩擦を緩和しつつ、自国の産業競争力を維持するために、EPAを通じたルールの高度化と、特定の供給源への非対称な依存を解消する「フレンド・ショアリング」を推進している 。</w:t>
      </w:r>
    </w:p>
    <w:p w:rsidR="00000000" w:rsidDel="00000000" w:rsidP="00000000" w:rsidRDefault="00000000" w:rsidRPr="00000000" w14:paraId="0000001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二国間交渉の最前線：バングラデシュ、中東、そしてメルコスール</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2025年から2026年にかけての日本のEPA交渉において、最も劇的な進展を見せたのはグローバルサウスの要衝との連携である。</w:t>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日・バングラデシュEPA：LDC卒業後の経済関係を担保する戦略</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2025年12月22日、日本とバングラデシュはEPA交渉において大筋合意に至ったことを確認した 。2024年3月の交渉開始からわずか1年9カ月という迅速な合意は、バングラデシュが2026年11月に国連の定める後発開発途上国（LDC）から卒業するという時間的制約が背景にある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LDCを卒業すると、それまで享受していた特恵関税（GSP）が適用されなくなるため、バングラデシュにとっては日本市場へのアクセスを維持するための法的枠組みが急務であった。日本側にとっても、戦略的な要衝に位置し、高い成長率を誇るバングラデシュ市場において、他国に劣後しない競争環境を整える意義は大きい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大筋合意における主要な内容は以下の通りである：</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関税の削減・撤廃</w:t>
      </w:r>
      <w:r w:rsidDel="00000000" w:rsidR="00000000" w:rsidRPr="00000000">
        <w:rPr>
          <w:rFonts w:ascii="Arial Unicode MS" w:cs="Arial Unicode MS" w:eastAsia="Arial Unicode MS" w:hAnsi="Arial Unicode MS"/>
          <w:rtl w:val="0"/>
        </w:rPr>
        <w:t xml:space="preserve">: 日本側は、鉄鋼、自動車部品、電子部品、織物など多くの鉱工業品について、即時から18年以内に関税を撤廃することを獲得した 。特に完成車については、将来にわたって他国に劣後しない特恵待遇が約束された。</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農林水産品の輸出促進</w:t>
      </w:r>
      <w:r w:rsidDel="00000000" w:rsidR="00000000" w:rsidRPr="00000000">
        <w:rPr>
          <w:rFonts w:ascii="Arial Unicode MS" w:cs="Arial Unicode MS" w:eastAsia="Arial Unicode MS" w:hAnsi="Arial Unicode MS"/>
          <w:rtl w:val="0"/>
        </w:rPr>
        <w:t xml:space="preserve">: 牛肉、ホタテ、リンゴ、緑茶といった日本の「輸出重点品目」について、バングラデシュ側が段階的に関税を撤廃することで合意した 。</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サービスとルール</w:t>
      </w:r>
      <w:r w:rsidDel="00000000" w:rsidR="00000000" w:rsidRPr="00000000">
        <w:rPr>
          <w:rFonts w:ascii="Arial Unicode MS" w:cs="Arial Unicode MS" w:eastAsia="Arial Unicode MS" w:hAnsi="Arial Unicode MS"/>
          <w:rtl w:val="0"/>
        </w:rPr>
        <w:t xml:space="preserve">: サービス貿易の約100分野で自由化が約束され、汚職防止や腐敗防止といった高い水準の規律が盛り込まれた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この合意は、日本にとってLDCとの間で締結される初めての二国間EPAであり、開発援助からビジネスベースの経済協力へと関係を深化させるモデルケースとなることが期待されている。</w:t>
      </w:r>
    </w:p>
    <w:p w:rsidR="00000000" w:rsidDel="00000000" w:rsidP="00000000" w:rsidRDefault="00000000" w:rsidRPr="00000000" w14:paraId="0000002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中東戦略の深化：UAEおよびGCCとの包括的連携</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エネルギー安全保障の観点から長年重視されてきた中東地域との関係は、2025年以降、デジタル経済や投資を包含する多面的な連携へと変容している。</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日・UAE EPA</w:t>
      </w:r>
      <w:r w:rsidDel="00000000" w:rsidR="00000000" w:rsidRPr="00000000">
        <w:rPr>
          <w:rFonts w:ascii="Arial Unicode MS" w:cs="Arial Unicode MS" w:eastAsia="Arial Unicode MS" w:hAnsi="Arial Unicode MS"/>
          <w:rtl w:val="0"/>
        </w:rPr>
        <w:t xml:space="preserve">: 2024年9月に交渉を開始して以来、2025年12月の第6回交渉（ドバイ）に至るまで、極めて高い頻度で協議が重ねられている 。UAEは「脱石油」を掲げた産業多角化を進めており、日本の高度な技術やデジタルサービスに対する期待が高い。交渉では物品貿易の関税撤廃のみならず、知的財産保護、サービス貿易、持続可能な開発といった広範な分野が議論されている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日・GCC EPA</w:t>
      </w:r>
      <w:r w:rsidDel="00000000" w:rsidR="00000000" w:rsidRPr="00000000">
        <w:rPr>
          <w:rFonts w:ascii="Arial Unicode MS" w:cs="Arial Unicode MS" w:eastAsia="Arial Unicode MS" w:hAnsi="Arial Unicode MS"/>
          <w:rtl w:val="0"/>
        </w:rPr>
        <w:t xml:space="preserve">: サウジアラビアを含む湾岸6カ国との地域間EPAも再開・加速している。2025年6月には東京で第2回交渉が行われ、産業構造の多角化を後押しする枠組み作りが進められている 。UAEとの二国間交渉とGCCとの広域交渉を並行させることで、中東全域でのビジネス環境の整備を重層的に進める狙いがある。</w:t>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メルコスールとの「戦略的パートナーシップ」立ち上げ</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南米の巨大経済圏であるメルコスール（ブラジル、アルゼンチン、パラグアイ、ウルグアイ、ボリビア）との関係も、2026年に向けた注目分野である。2025年12月20日、日本とメルコスールは「日・メルコスール戦略的パートナーシップ枠組み」を立ち上げた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この枠組みは、正式なEPA交渉の前段階として位置づけられ、以下の分野での協力を具体化することを目指している：</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rtl w:val="0"/>
        </w:rPr>
        <w:t xml:space="preserve">サプライチェーンの強靭化（重要鉱物や食料の安定確保）</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rtl w:val="0"/>
        </w:rPr>
        <w:t xml:space="preserve">デジタル経済およびエネルギー転換（GX）における協力</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rtl w:val="0"/>
        </w:rPr>
        <w:t xml:space="preserve">貿易投資促進のための官民対話の深化</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ブラジルのルーラ大統領が2025年3月に日本を訪問した際のアクションプランに基づいており、経団連などの経済界からもEPAの早期実現を求める共同声明が出されるなど、中南米における市場開放への期待が高まっている 。</w:t>
      </w:r>
    </w:p>
    <w:p w:rsidR="00000000" w:rsidDel="00000000" w:rsidP="00000000" w:rsidRDefault="00000000" w:rsidRPr="00000000" w14:paraId="0000003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メガFTAの運用と拡大：CPTPP、RCEP、IPEFの三本柱</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広域的な経済連携の枠組みは、2026年において「ルールの確立」から「ルールの活用と拡大」のフェーズへと移行している。</w:t>
      </w:r>
    </w:p>
    <w:p w:rsidR="00000000" w:rsidDel="00000000" w:rsidP="00000000" w:rsidRDefault="00000000" w:rsidRPr="00000000" w14:paraId="0000003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CPTPP：英国の加入と高い水準の維持</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CPTPP（環太平洋パートナーシップに関する包括的及び先進的な協定）は、2024年12月15日に英国の加入議定書が発効し、加盟国が12カ国へと拡大した 。英国の加入は、地理的な制約を越えて高い水準の貿易ルール（知的財産、国有企業規律、デジタル貿易等）を共有できることを示した重要な先例となった。</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2026年の焦点は、コスタリカ（2024年11月に作業部会設置決定）や、中国、台湾、エクアドル、ウルグアイ、ウクライナ、インドネシアといった新規加入申請への対応である 。日本は、加入希望エコノミーがCPTPPの「高い水準」を完全に満たし、履行し続ける能力があるかどうかを厳格に見極める方針を維持している 。また、協定発効から時間が経過したことによる「一般見直し」のプロセスを通じ、デジタル化やサプライチェーンの強靭化といった新たな課題への対応も進められている 。</w:t>
      </w:r>
    </w:p>
    <w:p w:rsidR="00000000" w:rsidDel="00000000" w:rsidP="00000000" w:rsidRDefault="00000000" w:rsidRPr="00000000" w14:paraId="0000003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RCEP：2027年一般見直しに向けた土台作り</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2022年に発効したRCEP（地域的な包括的経済連携）は、日本、中国、韓国、ASEANを含む多様な経済圏をカバーする最大の枠組みである。2025年9月にクアラルンプールで開催された閣僚会合では、協定の透明性のある履行と、貿易障壁の排除が改めて確認された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RCEPにおける最新の取り組み：</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電子商取引分野の対話</w:t>
      </w:r>
      <w:r w:rsidDel="00000000" w:rsidR="00000000" w:rsidRPr="00000000">
        <w:rPr>
          <w:rFonts w:ascii="Arial Unicode MS" w:cs="Arial Unicode MS" w:eastAsia="Arial Unicode MS" w:hAnsi="Arial Unicode MS"/>
          <w:rtl w:val="0"/>
        </w:rPr>
        <w:t xml:space="preserve">: 日本が主導する「RCEP電商対話」を通じ、生成AIなどの新技術への対応や、データの自由な流通（DFFT）の確保、データローカライゼーション要求の禁止といった高度なルールを将来的に導入するための提言が行われている 。</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新規加盟</w:t>
      </w:r>
      <w:r w:rsidDel="00000000" w:rsidR="00000000" w:rsidRPr="00000000">
        <w:rPr>
          <w:rFonts w:ascii="Arial Unicode MS" w:cs="Arial Unicode MS" w:eastAsia="Arial Unicode MS" w:hAnsi="Arial Unicode MS"/>
          <w:rtl w:val="0"/>
        </w:rPr>
        <w:t xml:space="preserve">: 香港、チリ、バングラデシュ、スリランカの加入申請を受け、作業指針（TOR）の採択が進められている 。</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2027年一般見直し</w:t>
      </w:r>
      <w:r w:rsidDel="00000000" w:rsidR="00000000" w:rsidRPr="00000000">
        <w:rPr>
          <w:rFonts w:ascii="Arial Unicode MS" w:cs="Arial Unicode MS" w:eastAsia="Arial Unicode MS" w:hAnsi="Arial Unicode MS"/>
          <w:rtl w:val="0"/>
        </w:rPr>
        <w:t xml:space="preserve">: 協定発効5年目となる2027年に向けた包括的な見直しへのコミットメントが表明され、より高度な自由化を目指す機運が高まっている 。</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IPEF：関税なき「供給網協定」の実装</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米国が主導するIPEF（インド太平洋経済枠組み）は、従来のEPAとは異なり関税交渉を行わないが、経済安全保障に直結するルール形成に特化している。特に「第2の柱：サプライチェーン」協定は2024年2月に発効し、2025年を通じて具体的な運用が始まった 。重要物資の供給途絶が発生した際の情報共有や協力体制の構築が進んでおり、半導体や重要鉱物の安定確保に向けた実効性が試されている 。</w:t>
      </w:r>
    </w:p>
    <w:p w:rsidR="00000000" w:rsidDel="00000000" w:rsidP="00000000" w:rsidRDefault="00000000" w:rsidRPr="00000000" w14:paraId="0000004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高度なデジタル・データ規律とEPAの進化</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2026年のEPAにおいて、最も付加価値が高いとされる領域がデジタル貿易である。日本は「信頼ある自由なデータ流通（DFFT）」の具体化を、EPAを通じて加速させている。</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日EU・EPAデータ流転規定の発効</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2024年7月1日、日EU・EPAに「データの自由な流通に関する規定」を含める改正議定書が発効した 。これにより、日EU間での個人情報保護を前提とした自由かつ安全なデータ流通を支える法的枠組みが強化された。これは、デジタル・トランスフォーメーション（DX）を推進する企業にとって、法的予見可能性を高める重要なインフラとなっている。</w:t>
      </w:r>
    </w:p>
    <w:p w:rsidR="00000000" w:rsidDel="00000000" w:rsidP="00000000" w:rsidRDefault="00000000" w:rsidRPr="00000000" w14:paraId="0000004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日英EPAと日米デジタル貿易協定の先進性</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日英EPAは、日EU・EPAを基礎としながらも、電子商取引や金融サービスの分野でより先進的なルールを盛り込んでいる 。また、日米デジタル貿易協定（2020年発効）とともに、データローカライゼーション（データの国内保管義務）の禁止や、ソースコード・アルゴリズムの開示要求の禁止といった、ビジネスのデジタル化を阻害しない高度な規律のグローバルスタンダード化を主導している 。</w:t>
      </w:r>
    </w:p>
    <w:p w:rsidR="00000000" w:rsidDel="00000000" w:rsidP="00000000" w:rsidRDefault="00000000" w:rsidRPr="00000000" w14:paraId="0000004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経済安全保障と連動する国内法制度と通商規制</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EPAによる市場開放の一方で、日本は機微技術の流出防止やサプライチェーンの脆弱性克服のために、国内法制度の整備を強化している。2026年は、これらの規制が実務レベルで本格的に運用される年となる。</w:t>
      </w:r>
    </w:p>
    <w:p w:rsidR="00000000" w:rsidDel="00000000" w:rsidP="00000000" w:rsidRDefault="00000000" w:rsidRPr="00000000" w14:paraId="0000004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輸出管理の厳格化：2026年2月改正のポイント</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安全保障貿易管理の観点から、日本は「キャッチオール規制」の拡充や、特定技術の輸出管理を強化している。2026年2月14日に施行される改正により、以下の物品が新たに輸出管理の対象となる ：</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ペプチド合成装置</w:t>
      </w:r>
      <w:r w:rsidDel="00000000" w:rsidR="00000000" w:rsidRPr="00000000">
        <w:rPr>
          <w:rFonts w:ascii="Arial Unicode MS" w:cs="Arial Unicode MS" w:eastAsia="Arial Unicode MS" w:hAnsi="Arial Unicode MS"/>
          <w:rtl w:val="0"/>
        </w:rPr>
        <w:t xml:space="preserve">: バイオ技術や医薬品開発、さらには生物兵器への転用リスクを考慮した規制である。</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高エントロピー合金・難溶性金属粉末</w:t>
      </w:r>
      <w:r w:rsidDel="00000000" w:rsidR="00000000" w:rsidRPr="00000000">
        <w:rPr>
          <w:rFonts w:ascii="Arial Unicode MS" w:cs="Arial Unicode MS" w:eastAsia="Arial Unicode MS" w:hAnsi="Arial Unicode MS"/>
          <w:rtl w:val="0"/>
        </w:rPr>
        <w:t xml:space="preserve">: 航空宇宙や防衛産業における先端素材としての重要性が高まっている。</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プログラム変更可能なモジュール等</w:t>
      </w:r>
      <w:r w:rsidDel="00000000" w:rsidR="00000000" w:rsidRPr="00000000">
        <w:rPr>
          <w:rFonts w:ascii="Arial Unicode MS" w:cs="Arial Unicode MS" w:eastAsia="Arial Unicode MS" w:hAnsi="Arial Unicode MS"/>
          <w:rtl w:val="0"/>
        </w:rPr>
        <w:t xml:space="preserve">: 汎用性が高く、機微な用途に転用可能な技術への監視を強める。</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また、2022年から導入された「みなし輸出管理」により、国内での居住者への技術提供であっても、非居住者から強い影響を受けている場合には政府の許可が必要となっている 。</w:t>
      </w:r>
    </w:p>
    <w:p w:rsidR="00000000" w:rsidDel="00000000" w:rsidP="00000000" w:rsidRDefault="00000000" w:rsidRPr="00000000" w14:paraId="0000004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経済安全保障推進法（ESPA）と新セキュリティクリアランス</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政府は半導体、蓄電池、重要鉱物などの「特定重要物資」の国内生産を支援するために数兆円規模の補助金を投入しており、2025年から2026年にかけてこれらのファブ（TSMC/JASM, Rapidus等）が稼働・建設のピークを迎える 。これに関連し、2025年5月に施行された「経済安全保障重要情報（CESI）」の保護に関する新制度により、民間企業の個人や施設に対するセキュリティクリアランス（適性評価）の運用が本格化している 。これにより、官民での機密情報の共有を通じたサプライチェーンの強靭化が図られる。</w:t>
      </w:r>
    </w:p>
    <w:p w:rsidR="00000000" w:rsidDel="00000000" w:rsidP="00000000" w:rsidRDefault="00000000" w:rsidRPr="00000000" w14:paraId="0000005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税関手続きと税制の刷新：EC貨物と消費税への対応</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2026年には、急増する電子商取引（EC）に伴う輸入貨物の取り扱いについても、大きな税制・制度の変更が予定されている。</w:t>
      </w:r>
    </w:p>
    <w:p w:rsidR="00000000" w:rsidDel="00000000" w:rsidP="00000000" w:rsidRDefault="00000000" w:rsidRPr="00000000" w14:paraId="0000005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2026年度税制改正（予定）による輸入コストの変化</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財務省は、小口輸入貨物に対する課税の公平性を確保するため、以下の見直しを検討している ：</w:t>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簡易計算（60%ルール）の廃止</w:t>
      </w:r>
      <w:r w:rsidDel="00000000" w:rsidR="00000000" w:rsidRPr="00000000">
        <w:rPr>
          <w:rFonts w:ascii="Arial Unicode MS" w:cs="Arial Unicode MS" w:eastAsia="Arial Unicode MS" w:hAnsi="Arial Unicode MS"/>
          <w:rtl w:val="0"/>
        </w:rPr>
        <w:t xml:space="preserve">: 個人が使用する目的で輸入される物品について、現地価格の60%を課税価格とする現行の特例が撤廃される見込みである。</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1万円以下免税の撤廃</w:t>
      </w:r>
      <w:r w:rsidDel="00000000" w:rsidR="00000000" w:rsidRPr="00000000">
        <w:rPr>
          <w:rFonts w:ascii="Arial Unicode MS" w:cs="Arial Unicode MS" w:eastAsia="Arial Unicode MS" w:hAnsi="Arial Unicode MS"/>
          <w:rtl w:val="0"/>
        </w:rPr>
        <w:t xml:space="preserve">: 現在、課税価格が1万円以下の貨物について課せられている消費税の免税措置が廃止される方向で議論が進んでおり、ECを利用した小口輸入品の価格上昇要因となる可能性がある。</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t>
      </w:r>
      <w:r w:rsidDel="00000000" w:rsidR="00000000" w:rsidRPr="00000000">
        <w:rPr>
          <w:rFonts w:ascii="Arial Unicode MS" w:cs="Arial Unicode MS" w:eastAsia="Arial Unicode MS" w:hAnsi="Arial Unicode MS"/>
          <w:i w:val="1"/>
          <w:iCs w:val="1"/>
          <w:rtl w:val="0"/>
        </w:rPr>
        <w:t xml:space="preserve">申告情報の詳細化</w:t>
      </w:r>
      <w:r w:rsidDel="00000000" w:rsidR="00000000" w:rsidRPr="00000000">
        <w:rPr>
          <w:rFonts w:ascii="Arial Unicode MS" w:cs="Arial Unicode MS" w:eastAsia="Arial Unicode MS" w:hAnsi="Arial Unicode MS"/>
          <w:rtl w:val="0"/>
        </w:rPr>
        <w:t xml:space="preserve">*: 2025年10月より導入された、ECプラットフォーム名や目的地（フルフィルメントセンター等）の申告義務化により、輸入申告の透明性が向上している 。</w:t>
      </w:r>
    </w:p>
    <w:p w:rsidR="00000000" w:rsidDel="00000000" w:rsidP="00000000" w:rsidRDefault="00000000" w:rsidRPr="00000000" w14:paraId="00000057">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今後の展望と戦略的課題</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2026年以降の日本の通商政策は、単なる貿易量の拡大から、経済安全保障、デジタル化、そして脱炭素化（グリーン移行）を統合した「次世代の経済連携」へと進化していく。</w:t>
      </w:r>
    </w:p>
    <w:p w:rsidR="00000000" w:rsidDel="00000000" w:rsidP="00000000" w:rsidRDefault="00000000" w:rsidRPr="00000000" w14:paraId="0000005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注力すべき3つの方向性</w:t>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グローバルサウスとの「共創」</w:t>
      </w:r>
      <w:r w:rsidDel="00000000" w:rsidR="00000000" w:rsidRPr="00000000">
        <w:rPr>
          <w:rFonts w:ascii="Arial Unicode MS" w:cs="Arial Unicode MS" w:eastAsia="Arial Unicode MS" w:hAnsi="Arial Unicode MS"/>
          <w:rtl w:val="0"/>
        </w:rPr>
        <w:t xml:space="preserve">: 単なる安価な労働力や資源の確保ではなく、バングラデシュやASEAN、インドといった国々と、現地の課題解決（脱炭素、AI活用、インフラ整備）を共に行う「共創」の枠組みをEPAに組み込むことが重要となる 。</w:t>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既存協定の「アップグレード」</w:t>
      </w:r>
      <w:r w:rsidDel="00000000" w:rsidR="00000000" w:rsidRPr="00000000">
        <w:rPr>
          <w:rFonts w:ascii="Arial Unicode MS" w:cs="Arial Unicode MS" w:eastAsia="Arial Unicode MS" w:hAnsi="Arial Unicode MS"/>
          <w:rtl w:val="0"/>
        </w:rPr>
        <w:t xml:space="preserve">: RCEPの2027年見直しや、CPTPPの一般見直しを通じ、発効時には想定されていなかった生成AI、持続可能なサプライチェーン、炭素国境調整措置（CBAM）との整合性といった課題をルール化していく必要がある 。</w:t>
      </w:r>
    </w:p>
    <w:p w:rsidR="00000000" w:rsidDel="00000000" w:rsidP="00000000" w:rsidRDefault="00000000" w:rsidRPr="00000000" w14:paraId="0000005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経済外交の「多層化」の完遂</w:t>
      </w:r>
      <w:r w:rsidDel="00000000" w:rsidR="00000000" w:rsidRPr="00000000">
        <w:rPr>
          <w:rFonts w:ascii="Arial Unicode MS" w:cs="Arial Unicode MS" w:eastAsia="Arial Unicode MS" w:hAnsi="Arial Unicode MS"/>
          <w:rtl w:val="0"/>
        </w:rPr>
        <w:t xml:space="preserve">: UAE、GCC、バングラデシュとの早期署名・発効を目指すと同時に、メルコスールとの正式交渉開始に向けた地ならしを進め、日本の貿易カバー率を現在の87%からさらに引き上げ、「空白地帯」を埋めていく戦略が求められる 。</w:t>
      </w:r>
    </w:p>
    <w:p w:rsidR="00000000" w:rsidDel="00000000" w:rsidP="00000000" w:rsidRDefault="00000000" w:rsidRPr="00000000" w14:paraId="0000005D">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結論</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Fonts w:ascii="Arial Unicode MS" w:cs="Arial Unicode MS" w:eastAsia="Arial Unicode MS" w:hAnsi="Arial Unicode MS"/>
          <w:rtl w:val="0"/>
        </w:rPr>
        <w:t xml:space="preserve">2026年の日本を取り巻く経済連携の状況は、戦後一貫して守ってきた自由貿易の理念を維持しつつも、それを支えるルールを「経済安全保障」と「デジタルの信頼」という新たな土台の上に再構築する過渡期にある。バングラデシュとの大筋合意や英国のCPTPP加入は、その成功の兆しであり、今後はこれらの枠組みをいかに実務レベルで機能させ、日本企業の競争力強化と国民経済の安定につなげていくかが問われる。不確実性が増大する国際情勢の中で、日本は多層的なEPAネットワークを駆使し、強靭かつ開かれた経済圏の構築をリードし続けていくことが不可欠である。</w:t>
      </w:r>
    </w:p>
    <w:p w:rsidR="00000000" w:rsidDel="00000000" w:rsidP="00000000" w:rsidRDefault="00000000" w:rsidRPr="00000000" w14:paraId="0000005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引用文献</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1. International Trade 2026 - Japan | Global Practice Guides ..., https://practiceguides.chambers.com/practice-guides/international-trade-2026/japan 2. 通商白書2025 - 経済産業省, https://www.meti.go.jp/report/tsuhaku2025/pdf/2025_ppt.pdf 3. Japan's EPA/FTA and Related Initiatives, https://www.mofa.go.jp/files/100786377.pdf 4. 【2025年末版】日本のFTA/EPA交渉「最新マップ」 激動の中東・南アジア - ロジスティック, https://global-scm.com/blog/?p=3502 5. Economic Partnership Agreement (EPA) / Free Trade Agreement ..., https://www.mofa.go.jp/policy/economy/fta/index.html 6. 日・バングラデシュ経済連携協定（EPA） （METI/経済産業省）, https://www.meti.go.jp/policy/trade_policy/epa/epa/bd/index.html 7. 日本とバングラデシュがEPA交渉で大筋合意、バングラデシュ初のEPAに - ジェトロ, https://www.jetro.go.jp/biznews/2025/12/58e753391bf3e6ca.html 8. 日本バングラデシュＥＰＡ交渉の大筋合意について｜会頭コメント - 東京商工会議所, https://www.tokyo-cci.or.jp/page.jsp?id=1208321 9. Japan-United Arab Emirates (UAE) Economic Partnership Agreement, https://www.mofa.go.jp/policy/economy/fta/uae.html 10. 日本とUAE、第4回EPA交渉を妥結 - ARAB NEWS, https://www.arabnews.jp/article/business/article_155502/ 11. 外交青書 2025 ｜ 2 自由で公正な経済秩序を広げるための取組 ..., https://www.mofa.go.jp/mofaj/gaiko/bluebook/2025/html/chapter3_03_02.html 12. 日本とメルコスールが「日・メルコスール戦略的パートナーシップ枠組み」の立ち上げを発表(ボリビア, https://www.jetro.go.jp/biznews/2025/12/738df5a2fe4f2902.html 13. 日メルコスールEPAの早期実現に向けた連携推進を確認 (2025年10月2日 No.3699) - 経団連, https://www.keidanren.or.jp/journal/times/2025/1002_10.html 14. 日本ブラジル外交関係樹立130周年を機に、今こそ日本メルコスールEPAの早期実現を求める共同声明 (2025-03-26) - 経団連, https://www.keidanren.or.jp/policy/2025/021.html 15. ＣＰＴＰＰの主な内容について｜ＴＰＰ等政府対策本部 - 内閣官房, https://www.cas.go.jp/jp/tpp/tppinfo/kyotei/tpp11/index.html 16. CPTPPにおける英国加入議定書の発効について - 税関 Japan Customs, https://www.customs.go.jp/roo/text/tpp_uk.html 17. ＴＰＰの動き（２０２４年）｜ＴＰＰ等政府対策本部 - 内閣官房, https://www.cas.go.jp/jp/tpp/tppinfo/2024/index.html 18. RCEP閣僚会合、2027年の一般的な見直しに向けた取り組みの重要 ..., https://www.jetro.go.jp/biznews/2025/10/d3ed71fe2a513a9b.html 19. EPA/FTA/Economic Frameworks / METI Ministry of Economy, Trade ..., https://www.meti.go.jp/english/policy/external_economy/trade/FTA_EPA/index.html 20. 改正ATIGA、再製造品の域内流通促進を目指す、2027年半ば発効へ - ジェトロ, https://www.jetro.go.jp/biznews/2025/11/218fc0b2c0dd3ee7.html 21. ASEANの最新情勢と 日本の戦略, https://www.asean.emb-japan.go.jp/files/100870649.pdf</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